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e444ed94470a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Удаленный рабочий стол RDP/Citrix</w:t>
      </w:r>
    </w:p>
    <w:p>
      <w:pPr>
        <w:pStyle w:val="Heading2"/>
      </w:pPr>
      <w:r>
        <w:t>Генерация подключения</w:t>
      </w:r>
    </w:p>
    <w:p>
      <w:pPr>
        <w:pStyle w:val="Normal"/>
      </w:pPr>
      <w:r>
        <w:t>Генерация подключения с удаленным компьютером через RDP. Результатом блока является строка данных, которая идентична содержимому файла .rdp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Сервер</w:t>
            </w:r>
          </w:p>
        </w:tc>
        <w:tc>
          <w:tcPr>
            <w:tcW w:w="4000" w:type="dxa"/>
          </w:tcPr>
          <w:p>
            <w:r>
              <w:t>[Текст] Сервер для подключения. Указывается IP адрес или домен</w:t>
            </w:r>
          </w:p>
        </w:tc>
      </w:tr>
      <w:tr>
        <w:tc>
          <w:tcPr>
            <w:tcW w:w="4000" w:type="dxa"/>
          </w:tcPr>
          <w:p>
            <w:r>
              <w:t>Порт</w:t>
            </w:r>
          </w:p>
        </w:tc>
        <w:tc>
          <w:tcPr>
            <w:tcW w:w="4000" w:type="dxa"/>
          </w:tcPr>
          <w:p>
            <w:r>
              <w:t>[Число] Порт для подключения. Если указать пустое значение, то принимается порт по умолчанию (3389)</w:t>
            </w:r>
          </w:p>
        </w:tc>
      </w:tr>
      <w:tr>
        <w:tc>
          <w:tcPr>
            <w:tcW w:w="4000" w:type="dxa"/>
          </w:tcPr>
          <w:p>
            <w:r>
              <w:t>Имя пользователя</w:t>
            </w:r>
          </w:p>
        </w:tc>
        <w:tc>
          <w:tcPr>
            <w:tcW w:w="4000" w:type="dxa"/>
          </w:tcPr>
          <w:p>
            <w:r>
              <w:t>[Текст] Имя пользователя для авторизации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авторизации</w:t>
            </w:r>
          </w:p>
        </w:tc>
      </w:tr>
      <w:tr>
        <w:tc>
          <w:tcPr>
            <w:tcW w:w="4000" w:type="dxa"/>
          </w:tcPr>
          <w:p>
            <w:r>
              <w:t>Строка подключения</w:t>
            </w:r>
          </w:p>
        </w:tc>
        <w:tc>
          <w:tcPr>
            <w:tcW w:w="4000" w:type="dxa"/>
          </w:tcPr>
          <w:p>
            <w:r>
              <w:t>[Текст] Строка данных для подключения к удаленному компьютеру. Содержимое строки идентично содержимому файлов .rdp</w:t>
            </w:r>
          </w:p>
        </w:tc>
      </w:tr>
      <w:tr>
        <w:tc>
          <w:tcPr>
            <w:tcW w:w="4000" w:type="dxa"/>
          </w:tcPr>
          <w:p>
            <w:r>
              <w:t>Настройка отображения</w:t>
            </w:r>
          </w:p>
        </w:tc>
        <w:tc>
          <w:tcPr>
            <w:tcW w:w="4000" w:type="dxa"/>
          </w:tcPr>
          <w:p>
            <w:r>
              <w:t>Позволяет выбрать в каком размере будет инициализирован экран удаленного компьютера. Возможные значения: Full screen - полноэкранный режим; остальные значения "Ширина"x"Высота" экрана</w:t>
            </w:r>
          </w:p>
        </w:tc>
      </w:tr>
      <w:tr>
        <w:tc>
          <w:tcPr>
            <w:tcW w:w="4000" w:type="dxa"/>
          </w:tcPr>
          <w:p>
            <w:r>
              <w:t>Перенаправление принтеров</w:t>
            </w:r>
          </w:p>
        </w:tc>
        <w:tc>
          <w:tcPr>
            <w:tcW w:w="4000" w:type="dxa"/>
          </w:tcPr>
          <w:p>
            <w:r>
              <w:t>При включении локальные принтеры будут перенаправлены на удаленную машину</w:t>
            </w:r>
          </w:p>
        </w:tc>
      </w:tr>
      <w:tr>
        <w:tc>
          <w:tcPr>
            <w:tcW w:w="4000" w:type="dxa"/>
          </w:tcPr>
          <w:p>
            <w:r>
              <w:t>Перенаправление буфера обмена</w:t>
            </w:r>
          </w:p>
        </w:tc>
        <w:tc>
          <w:tcPr>
            <w:tcW w:w="4000" w:type="dxa"/>
          </w:tcPr>
          <w:p>
            <w:r>
              <w:t>При включении на удаленной машине будет доступен локальный буфер обмена</w:t>
            </w:r>
          </w:p>
        </w:tc>
      </w:tr>
      <w:tr>
        <w:tc>
          <w:tcPr>
            <w:tcW w:w="4000" w:type="dxa"/>
          </w:tcPr>
          <w:p>
            <w:r>
              <w:t>Качество подключения</w:t>
            </w:r>
          </w:p>
        </w:tc>
        <w:tc>
          <w:tcPr>
            <w:tcW w:w="4000" w:type="dxa"/>
          </w:tcPr>
          <w:p>
            <w:r>
              <w:t>Качество подключения. Возможные значения: Auto - определять качество подключения автоматически; Maximum - будут включены все возможности; Normal - включаются возможности "Сглаживание шрифтов", "Композиция рабочего стола", "Стили оформления"; Minimum - отключаются все возможности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Создание подключения</w:t>
      </w:r>
    </w:p>
    <w:p>
      <w:pPr>
        <w:pStyle w:val="Normal"/>
      </w:pPr>
      <w:r>
        <w:t>Создание подключения с удаленным компьютером по протоколу RDP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Строка подключения</w:t>
            </w:r>
          </w:p>
        </w:tc>
        <w:tc>
          <w:tcPr>
            <w:tcW w:w="4000" w:type="dxa"/>
          </w:tcPr>
          <w:p>
            <w:r>
              <w:t>[Текст] Строка подключения или путь к файлу rdp. В свойстве указыватся строка подключения, генерируемая блоком "Генерация подключения" из этой же категории. Также есть возможность указать путь к файлу rdp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подключения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Подключиться к сеансу</w:t>
      </w:r>
    </w:p>
    <w:p>
      <w:pPr>
        <w:pStyle w:val="Normal"/>
      </w:pPr>
      <w:r>
        <w:t>Подключение к уже созданному сеансу RDP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Сервер</w:t>
            </w:r>
          </w:p>
        </w:tc>
        <w:tc>
          <w:tcPr>
            <w:tcW w:w="4000" w:type="dxa"/>
          </w:tcPr>
          <w:p>
            <w:r>
              <w:t>[Текст] Имя сервера. Необходимо указывать значение, с которым инициализировано подключение RDP, к которому следует присоединиться. Для подключения к Citrix укажите значение "Citrix"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Закрыть подключение</w:t>
      </w:r>
    </w:p>
    <w:p>
      <w:pPr>
        <w:pStyle w:val="Normal"/>
      </w:pPr>
      <w:r>
        <w:t>Закрывает указанное подключение RDP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Отключиться от RDP сессии</w:t>
      </w:r>
    </w:p>
    <w:p>
      <w:pPr>
        <w:pStyle w:val="Normal"/>
      </w:pPr>
      <w:r>
        <w:t>Отключение от текущей RDP сессии. При этом текущая сессия будет перенаправлена на консоль. Назначение блока: при работе визуальных сценариев, таких как работа мышки, клавиатуры (например управление браузером Google Chrome) закрытие окна удаленного подключения приведет к ошибке, при которой теряется активная сессия и перестают работать управляющие элементы. Иными словами при закрытии окна удаленного подключения RDP отключается пользователь и управление мышкой и клавиатурой оказывается невозможным. При использовании блока происходит перенаправление активной сессии на консоль. При этом сохраняется разрешение экрана и остаются доступными управляющие элементы. Само окно RDP подключение будет закрыто. Это так же можно сделать комбинациями клавиш Shift+F4 после запуска робота, а поменять комбинацию можно в настройках робота.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Ширина рабочего стола</w:t>
            </w:r>
          </w:p>
        </w:tc>
        <w:tc>
          <w:tcPr>
            <w:tcW w:w="4000" w:type="dxa"/>
          </w:tcPr>
          <w:p>
            <w:r>
              <w:t>[Число] Указывается ширина рабочего стола, с которым будет сделано подключение к консоли. Если значение пустое, то будет использоваться текущее разрешение экрана</w:t>
            </w:r>
          </w:p>
        </w:tc>
      </w:tr>
      <w:tr>
        <w:tc>
          <w:tcPr>
            <w:tcW w:w="4000" w:type="dxa"/>
          </w:tcPr>
          <w:p>
            <w:r>
              <w:t>Высота рабочего стола</w:t>
            </w:r>
          </w:p>
        </w:tc>
        <w:tc>
          <w:tcPr>
            <w:tcW w:w="4000" w:type="dxa"/>
          </w:tcPr>
          <w:p>
            <w:r>
              <w:t>[Число] Указывается высота рабочего стола, с которым будет сделано подключение к консоли. Если значение пустое, то будет использоваться текущее разрешение экрана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Работа с файлами</w:t>
      </w:r>
    </w:p>
    <w:p>
      <w:pPr>
        <w:pStyle w:val="Normal"/>
      </w:pPr>
      <w:r>
        <w:t>Блок позволяет загрузить файл на удаленный компьютер или скачать файл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Удаленный файл</w:t>
            </w:r>
          </w:p>
        </w:tc>
        <w:tc>
          <w:tcPr>
            <w:tcW w:w="4000" w:type="dxa"/>
          </w:tcPr>
          <w:p>
            <w:r>
              <w:t>[Текст] Полный путь файла на удаленном компьютере</w:t>
            </w:r>
          </w:p>
        </w:tc>
      </w:tr>
      <w:tr>
        <w:tc>
          <w:tcPr>
            <w:tcW w:w="4000" w:type="dxa"/>
          </w:tcPr>
          <w:p>
            <w:r>
              <w:t>Локальный файл</w:t>
            </w:r>
          </w:p>
        </w:tc>
        <w:tc>
          <w:tcPr>
            <w:tcW w:w="4000" w:type="dxa"/>
          </w:tcPr>
          <w:p>
            <w:r>
              <w:t>[Текст] Полный путь файла на локальном компьютере</w:t>
            </w:r>
          </w:p>
        </w:tc>
      </w:tr>
      <w:tr>
        <w:tc>
          <w:tcPr>
            <w:tcW w:w="4000" w:type="dxa"/>
          </w:tcPr>
          <w:p>
            <w:r>
              <w:t>Операция</w:t>
            </w:r>
          </w:p>
        </w:tc>
        <w:tc>
          <w:tcPr>
            <w:tcW w:w="4000" w:type="dxa"/>
          </w:tcPr>
          <w:p>
            <w:r>
              <w:t>Выполняемая операция. Возможные значения: Upload - загрузка локального файла по пути удаленного файла (загрузка локального файла); Download - скачивание удаленного файла по пути локального файла (скачивание удаленного файла)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выполнения операции. Если значение равно нулю, то свойство игнорируется и блок будет ожидать полного завершения операции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Выполнить сценарий</w:t>
      </w:r>
    </w:p>
    <w:p>
      <w:pPr>
        <w:pStyle w:val="Normal"/>
      </w:pPr>
      <w:r>
        <w:t>Выполняет сценарий в формате .robot на удаленной машине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Файл robot</w:t>
            </w:r>
          </w:p>
        </w:tc>
        <w:tc>
          <w:tcPr>
            <w:tcW w:w="4000" w:type="dxa"/>
          </w:tcPr>
          <w:p>
            <w:r>
              <w:t>[Текст] Файл сценария с расширением .robot</w:t>
            </w:r>
          </w:p>
        </w:tc>
      </w:tr>
      <w:tr>
        <w:tc>
          <w:tcPr>
            <w:tcW w:w="4000" w:type="dxa"/>
          </w:tcPr>
          <w:p>
            <w:r>
              <w:t>Отключить закачку файла</w:t>
            </w:r>
          </w:p>
        </w:tc>
        <w:tc>
          <w:tcPr>
            <w:tcW w:w="4000" w:type="dxa"/>
          </w:tcPr>
          <w:p>
            <w:r>
              <w:t>При включении опции закачка указанного файла не будет выполнена на удаленную машину и будет считаться, что этот файл сразу доступен по пути на удаленной машине (например если указывается путь на сетевой папке)</w:t>
            </w:r>
          </w:p>
        </w:tc>
      </w:tr>
      <w:tr>
        <w:tc>
          <w:tcPr>
            <w:tcW w:w="4000" w:type="dxa"/>
          </w:tcPr>
          <w:p>
            <w:r>
              <w:t>Время ожидания запуска</w:t>
            </w:r>
          </w:p>
        </w:tc>
        <w:tc>
          <w:tcPr>
            <w:tcW w:w="4000" w:type="dxa"/>
          </w:tcPr>
          <w:p>
            <w:r>
              <w:t>[Число] Время ожидания запуска сценария на удаленной машине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выполнения операции. Если значение равно нулю, то свойство игнорируется и блок будет ожидать полного завершения выполнения сценария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77fd0cb01431b" /></Relationships>
</file>