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ba22ae9a784c3e" /></Relationships>
</file>

<file path=word/document.xml><?xml version="1.0" encoding="utf-8"?>
<w:document xmlns:w="http://schemas.openxmlformats.org/wordprocessingml/2006/main">
  <w:body>
    <w:p>
      <w:pPr>
        <w:pStyle w:val="Heading1"/>
      </w:pPr>
      <w:r>
        <w:t>Дата и время</w:t>
      </w:r>
    </w:p>
    <w:p>
      <w:pPr>
        <w:pStyle w:val="Heading2"/>
      </w:pPr>
      <w:r>
        <w:t>Получить текущие дату и время</w:t>
      </w:r>
    </w:p>
    <w:p>
      <w:pPr>
        <w:pStyle w:val="Normal"/>
      </w:pPr>
      <w:r>
        <w:t>Получает текущие дату и время в соответствии с настройками компьютера пользователя</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Результат</w:t>
            </w:r>
          </w:p>
        </w:tc>
        <w:tc>
          <w:tcPr>
            <w:tcW w:w="4000" w:type="dxa"/>
          </w:tcPr>
          <w:p>
            <w:r>
              <w:t>[Дата и время] Возвращает текущие дату и время</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Сложить </w:t>
      </w:r>
    </w:p>
    <w:p>
      <w:pPr>
        <w:pStyle w:val="Normal"/>
      </w:pPr>
      <w:r>
        <w:t>Прибавить к дате временной отрезок</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Дата</w:t>
            </w:r>
          </w:p>
        </w:tc>
        <w:tc>
          <w:tcPr>
            <w:tcW w:w="4000" w:type="dxa"/>
          </w:tcPr>
          <w:p>
            <w:r>
              <w:t>[Дата и время] Дата и время, к которым требуется прибавить некоторый временной отрезок</w:t>
            </w:r>
          </w:p>
        </w:tc>
      </w:tr>
      <w:tr>
        <w:tc>
          <w:tcPr>
            <w:tcW w:w="4000" w:type="dxa"/>
          </w:tcPr>
          <w:p>
            <w:r>
              <w:t>Год</w:t>
            </w:r>
          </w:p>
        </w:tc>
        <w:tc>
          <w:tcPr>
            <w:tcW w:w="4000" w:type="dxa"/>
          </w:tcPr>
          <w:p>
            <w:r>
              <w:t>[Число] Количество прибавляемых лет </w:t>
            </w:r>
          </w:p>
        </w:tc>
      </w:tr>
      <w:tr>
        <w:tc>
          <w:tcPr>
            <w:tcW w:w="4000" w:type="dxa"/>
          </w:tcPr>
          <w:p>
            <w:r>
              <w:t>Месяц</w:t>
            </w:r>
          </w:p>
        </w:tc>
        <w:tc>
          <w:tcPr>
            <w:tcW w:w="4000" w:type="dxa"/>
          </w:tcPr>
          <w:p>
            <w:r>
              <w:t>[Число] Количество прибавляемых месяцев</w:t>
            </w:r>
          </w:p>
        </w:tc>
      </w:tr>
      <w:tr>
        <w:tc>
          <w:tcPr>
            <w:tcW w:w="4000" w:type="dxa"/>
          </w:tcPr>
          <w:p>
            <w:r>
              <w:t>День</w:t>
            </w:r>
          </w:p>
        </w:tc>
        <w:tc>
          <w:tcPr>
            <w:tcW w:w="4000" w:type="dxa"/>
          </w:tcPr>
          <w:p>
            <w:r>
              <w:t>[Число] Количество прибавляемых дней</w:t>
            </w:r>
          </w:p>
        </w:tc>
      </w:tr>
      <w:tr>
        <w:tc>
          <w:tcPr>
            <w:tcW w:w="4000" w:type="dxa"/>
          </w:tcPr>
          <w:p>
            <w:r>
              <w:t>Час</w:t>
            </w:r>
          </w:p>
        </w:tc>
        <w:tc>
          <w:tcPr>
            <w:tcW w:w="4000" w:type="dxa"/>
          </w:tcPr>
          <w:p>
            <w:r>
              <w:t>[Число] Количество прибавляемых часов</w:t>
            </w:r>
          </w:p>
        </w:tc>
      </w:tr>
      <w:tr>
        <w:tc>
          <w:tcPr>
            <w:tcW w:w="4000" w:type="dxa"/>
          </w:tcPr>
          <w:p>
            <w:r>
              <w:t>Минуты</w:t>
            </w:r>
          </w:p>
        </w:tc>
        <w:tc>
          <w:tcPr>
            <w:tcW w:w="4000" w:type="dxa"/>
          </w:tcPr>
          <w:p>
            <w:r>
              <w:t>[Число] Количество прибавляемых минут</w:t>
            </w:r>
          </w:p>
        </w:tc>
      </w:tr>
      <w:tr>
        <w:tc>
          <w:tcPr>
            <w:tcW w:w="4000" w:type="dxa"/>
          </w:tcPr>
          <w:p>
            <w:r>
              <w:t>Секунды</w:t>
            </w:r>
          </w:p>
        </w:tc>
        <w:tc>
          <w:tcPr>
            <w:tcW w:w="4000" w:type="dxa"/>
          </w:tcPr>
          <w:p>
            <w:r>
              <w:t>[Число] Количество прибавляемых секунд</w:t>
            </w:r>
          </w:p>
        </w:tc>
      </w:tr>
      <w:tr>
        <w:tc>
          <w:tcPr>
            <w:tcW w:w="4000" w:type="dxa"/>
          </w:tcPr>
          <w:p>
            <w:r>
              <w:t>Милисекунды</w:t>
            </w:r>
          </w:p>
        </w:tc>
        <w:tc>
          <w:tcPr>
            <w:tcW w:w="4000" w:type="dxa"/>
          </w:tcPr>
          <w:p>
            <w:r>
              <w:t>[Число] Количество прибавляемых милисекунд</w:t>
            </w:r>
          </w:p>
        </w:tc>
      </w:tr>
      <w:tr>
        <w:tc>
          <w:tcPr>
            <w:tcW w:w="4000" w:type="dxa"/>
          </w:tcPr>
          <w:p>
            <w:r>
              <w:t>Результат</w:t>
            </w:r>
          </w:p>
        </w:tc>
        <w:tc>
          <w:tcPr>
            <w:tcW w:w="4000" w:type="dxa"/>
          </w:tcPr>
          <w:p>
            <w:r>
              <w:t>[Дата и время] Возвращает полученные дату и время</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Преобразовать дату и время в текст</w:t>
      </w:r>
    </w:p>
    <w:p>
      <w:pPr>
        <w:pStyle w:val="Normal"/>
      </w:pPr>
      <w:r>
        <w:t>Привести переменную типа дата и время в формат текста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Значение</w:t>
            </w:r>
          </w:p>
        </w:tc>
        <w:tc>
          <w:tcPr>
            <w:tcW w:w="4000" w:type="dxa"/>
          </w:tcPr>
          <w:p>
            <w:r>
              <w:t>[Дата и время] Дата и время, которые необходимо конвертировать в текст</w:t>
            </w:r>
          </w:p>
        </w:tc>
      </w:tr>
      <w:tr>
        <w:tc>
          <w:tcPr>
            <w:tcW w:w="4000" w:type="dxa"/>
          </w:tcPr>
          <w:p>
            <w:r>
              <w:t>Формат</w:t>
            </w:r>
          </w:p>
        </w:tc>
        <w:tc>
          <w:tcPr>
            <w:tcW w:w="4000" w:type="dxa"/>
          </w:tcPr>
          <w:p>
            <w:r>
              <w:t>[Текст] Формат конвертирования даты и времени в текст. Например: "dd.MM.yyyy HH:mm:ss"</w:t>
            </w:r>
          </w:p>
        </w:tc>
      </w:tr>
      <w:tr>
        <w:tc>
          <w:tcPr>
            <w:tcW w:w="4000" w:type="dxa"/>
          </w:tcPr>
          <w:p>
            <w:r>
              <w:t>Результат</w:t>
            </w:r>
          </w:p>
        </w:tc>
        <w:tc>
          <w:tcPr>
            <w:tcW w:w="4000" w:type="dxa"/>
          </w:tcPr>
          <w:p>
            <w:r>
              <w:t>[Текст] Возвращает дату и время в виде текста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Преобразовать дату и время из строки</w:t>
      </w:r>
    </w:p>
    <w:p>
      <w:pPr>
        <w:pStyle w:val="Normal"/>
      </w:pPr>
      <w:r>
        <w:t>Привести текст в переменную типа дата и время</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Значение</w:t>
            </w:r>
          </w:p>
        </w:tc>
        <w:tc>
          <w:tcPr>
            <w:tcW w:w="4000" w:type="dxa"/>
          </w:tcPr>
          <w:p>
            <w:r>
              <w:t>[Текст] Текст, который необходимо конвертировать в дату и время. Например: "01.01.2020 12:00:00"</w:t>
            </w:r>
          </w:p>
        </w:tc>
      </w:tr>
      <w:tr>
        <w:tc>
          <w:tcPr>
            <w:tcW w:w="4000" w:type="dxa"/>
          </w:tcPr>
          <w:p>
            <w:r>
              <w:t>Локаль</w:t>
            </w:r>
          </w:p>
        </w:tc>
        <w:tc>
          <w:tcPr>
            <w:tcW w:w="4000" w:type="dxa"/>
          </w:tcPr>
          <w:p>
            <w:r>
              <w:t>Выбор локали при преобразовании. Возможные значения: RU - русский (ru-RU); EN - английский (en-US)</w:t>
            </w:r>
          </w:p>
        </w:tc>
      </w:tr>
      <w:tr>
        <w:tc>
          <w:tcPr>
            <w:tcW w:w="4000" w:type="dxa"/>
          </w:tcPr>
          <w:p>
            <w:r>
              <w:t>Результат</w:t>
            </w:r>
          </w:p>
        </w:tc>
        <w:tc>
          <w:tcPr>
            <w:tcW w:w="4000" w:type="dxa"/>
          </w:tcPr>
          <w:p>
            <w:r>
              <w:t>[Дата и время] Возращает результат конвертации из строки в переменную типа данных Дата и время</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Определить день недели</w:t>
      </w:r>
    </w:p>
    <w:p>
      <w:pPr>
        <w:pStyle w:val="Normal"/>
      </w:pPr>
      <w:r>
        <w:t>Определить, на какой день недели пришлась указанная дата</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Значение</w:t>
            </w:r>
          </w:p>
        </w:tc>
        <w:tc>
          <w:tcPr>
            <w:tcW w:w="4000" w:type="dxa"/>
          </w:tcPr>
          <w:p>
            <w:r>
              <w:t>[Текст] Дата, для которой необходимо определить, на какой день недели она пришлась.  Например: "01.01.2020"</w:t>
            </w:r>
          </w:p>
        </w:tc>
      </w:tr>
      <w:tr>
        <w:tc>
          <w:tcPr>
            <w:tcW w:w="4000" w:type="dxa"/>
          </w:tcPr>
          <w:p>
            <w:r>
              <w:t>Тип результата</w:t>
            </w:r>
          </w:p>
        </w:tc>
        <w:tc>
          <w:tcPr>
            <w:tcW w:w="4000" w:type="dxa"/>
          </w:tcPr>
          <w:p>
            <w:r>
              <w:t>Формат возвращаемого значения. English - возвращается значение на английском языке (например Monday); Russian - возвращается значение на русском языке (например Понедельник)Local language - возвращается значение на языке определенном в системе; Number - возвращается числовое значение дня недели, где за 1 принят понедельник</w:t>
            </w:r>
          </w:p>
        </w:tc>
      </w:tr>
      <w:tr>
        <w:tc>
          <w:tcPr>
            <w:tcW w:w="4000" w:type="dxa"/>
          </w:tcPr>
          <w:p>
            <w:r>
              <w:t>Локаль</w:t>
            </w:r>
          </w:p>
        </w:tc>
        <w:tc>
          <w:tcPr>
            <w:tcW w:w="4000" w:type="dxa"/>
          </w:tcPr>
          <w:p>
            <w:r>
              <w:t>Выбор локали при преобразовании. Возможные значения: RU - русский (ru-RU); EN - английский (en-US)</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Результат</w:t>
            </w:r>
          </w:p>
        </w:tc>
        <w:tc>
          <w:tcPr>
            <w:tcW w:w="4000" w:type="dxa"/>
          </w:tcPr>
          <w:p>
            <w:r>
              <w:t>[Текст/Число] День недели, на который пришлась указанная дата</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Подсчитать рабочие дни</w:t>
      </w:r>
    </w:p>
    <w:p>
      <w:pPr>
        <w:pStyle w:val="Normal"/>
      </w:pPr>
      <w:r>
        <w:t>Считает количество рабочих дней между двумя заданными датами</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Календарь</w:t>
            </w:r>
          </w:p>
        </w:tc>
        <w:tc>
          <w:tcPr>
            <w:tcW w:w="4000" w:type="dxa"/>
          </w:tcPr>
          <w:p>
            <w:r>
              <w:t>[Календарь] Объект календаря. Значение должно соответствовать выходному значению свойства "Календарь" блока "Получить календарь" в палитре "Оркестратор"</w:t>
            </w:r>
          </w:p>
        </w:tc>
      </w:tr>
      <w:tr>
        <w:tc>
          <w:tcPr>
            <w:tcW w:w="4000" w:type="dxa"/>
          </w:tcPr>
          <w:p>
            <w:r>
              <w:t>Начальная дата</w:t>
            </w:r>
          </w:p>
        </w:tc>
        <w:tc>
          <w:tcPr>
            <w:tcW w:w="4000" w:type="dxa"/>
          </w:tcPr>
          <w:p>
            <w:r>
              <w:t>[Текст/Дата и время] Начальная дата</w:t>
            </w:r>
          </w:p>
        </w:tc>
      </w:tr>
      <w:tr>
        <w:tc>
          <w:tcPr>
            <w:tcW w:w="4000" w:type="dxa"/>
          </w:tcPr>
          <w:p>
            <w:r>
              <w:t>Конечная дата</w:t>
            </w:r>
          </w:p>
        </w:tc>
        <w:tc>
          <w:tcPr>
            <w:tcW w:w="4000" w:type="dxa"/>
          </w:tcPr>
          <w:p>
            <w:r>
              <w:t>[Текст/Дата и время] Конечная дата</w:t>
            </w:r>
          </w:p>
        </w:tc>
      </w:tr>
      <w:tr>
        <w:tc>
          <w:tcPr>
            <w:tcW w:w="4000" w:type="dxa"/>
          </w:tcPr>
          <w:p>
            <w:r>
              <w:t>Включить границы</w:t>
            </w:r>
          </w:p>
        </w:tc>
        <w:tc>
          <w:tcPr>
            <w:tcW w:w="4000" w:type="dxa"/>
          </w:tcPr>
          <w:p>
            <w:r>
              <w:t>При включении будут учитываться границы заданного диапазона дат</w:t>
            </w:r>
          </w:p>
        </w:tc>
      </w:tr>
      <w:tr>
        <w:tc>
          <w:tcPr>
            <w:tcW w:w="4000" w:type="dxa"/>
          </w:tcPr>
          <w:p>
            <w:r>
              <w:t>Результат</w:t>
            </w:r>
          </w:p>
        </w:tc>
        <w:tc>
          <w:tcPr>
            <w:tcW w:w="4000" w:type="dxa"/>
          </w:tcPr>
          <w:p>
            <w:r>
              <w:t>[Число] Количество рабочих дней</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Следующий рабочий день</w:t>
      </w:r>
    </w:p>
    <w:p>
      <w:pPr>
        <w:pStyle w:val="Normal"/>
      </w:pPr>
      <w:r>
        <w:t>Возвращает следующий рабочий день, начиная с указанной даты</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Календарь</w:t>
            </w:r>
          </w:p>
        </w:tc>
        <w:tc>
          <w:tcPr>
            <w:tcW w:w="4000" w:type="dxa"/>
          </w:tcPr>
          <w:p>
            <w:r>
              <w:t>[Календарь] Объект календаря. Значение должно соответствовать выходному значению свойства "Календарь" блока "Получить календарь" в палитре "Оркестратор"</w:t>
            </w:r>
          </w:p>
        </w:tc>
      </w:tr>
      <w:tr>
        <w:tc>
          <w:tcPr>
            <w:tcW w:w="4000" w:type="dxa"/>
          </w:tcPr>
          <w:p>
            <w:r>
              <w:t>Начальная дата</w:t>
            </w:r>
          </w:p>
        </w:tc>
        <w:tc>
          <w:tcPr>
            <w:tcW w:w="4000" w:type="dxa"/>
          </w:tcPr>
          <w:p>
            <w:r>
              <w:t>[Текст/Дата и время] Начальная дата</w:t>
            </w:r>
          </w:p>
        </w:tc>
      </w:tr>
      <w:tr>
        <w:tc>
          <w:tcPr>
            <w:tcW w:w="4000" w:type="dxa"/>
          </w:tcPr>
          <w:p>
            <w:r>
              <w:t>Прибавить рабочих дней</w:t>
            </w:r>
          </w:p>
        </w:tc>
        <w:tc>
          <w:tcPr>
            <w:tcW w:w="4000" w:type="dxa"/>
          </w:tcPr>
          <w:p>
            <w:r>
              <w:t>[Число] Прибавляемое к начальной дате количество рабочих дней</w:t>
            </w:r>
          </w:p>
        </w:tc>
      </w:tr>
      <w:tr>
        <w:tc>
          <w:tcPr>
            <w:tcW w:w="4000" w:type="dxa"/>
          </w:tcPr>
          <w:p>
            <w:r>
              <w:t>Результат</w:t>
            </w:r>
          </w:p>
        </w:tc>
        <w:tc>
          <w:tcPr>
            <w:tcW w:w="4000" w:type="dxa"/>
          </w:tcPr>
          <w:p>
            <w:r>
              <w:t>[Дата и время] Рабочая дата</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Рабочий день</w:t>
      </w:r>
    </w:p>
    <w:p>
      <w:pPr>
        <w:pStyle w:val="Normal"/>
      </w:pPr>
      <w:r>
        <w:t>Проверяет указанную дату на рабочий день</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Календарь</w:t>
            </w:r>
          </w:p>
        </w:tc>
        <w:tc>
          <w:tcPr>
            <w:tcW w:w="4000" w:type="dxa"/>
          </w:tcPr>
          <w:p>
            <w:r>
              <w:t>[Календарь] Объект календаря. Значение должно соответствовать выходному значению свойства "Календарь" блока "Получить календарь" в палитре "Оркестратор"</w:t>
            </w:r>
          </w:p>
        </w:tc>
      </w:tr>
      <w:tr>
        <w:tc>
          <w:tcPr>
            <w:tcW w:w="4000" w:type="dxa"/>
          </w:tcPr>
          <w:p>
            <w:r>
              <w:t>Дата</w:t>
            </w:r>
          </w:p>
        </w:tc>
        <w:tc>
          <w:tcPr>
            <w:tcW w:w="4000" w:type="dxa"/>
          </w:tcPr>
          <w:p>
            <w:r>
              <w:t>[Текст/Дата и время] Дата проверки</w:t>
            </w:r>
          </w:p>
        </w:tc>
      </w:tr>
      <w:tr>
        <w:tc>
          <w:tcPr>
            <w:tcW w:w="4000" w:type="dxa"/>
          </w:tcPr>
          <w:p>
            <w:r>
              <w:t>Результат</w:t>
            </w:r>
          </w:p>
        </w:tc>
        <w:tc>
          <w:tcPr>
            <w:tcW w:w="4000" w:type="dxa"/>
          </w:tcPr>
          <w:p>
            <w:r>
              <w:t>Значение $true указывает на то, что данный день является рабочим, в противном случае значение $false</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Направление выхода</w:t>
            </w:r>
          </w:p>
        </w:tc>
        <w:tc>
          <w:tcPr>
            <w:tcW w:w="4000" w:type="dxa"/>
          </w:tcPr>
          <w:p>
            <w:r>
              <w:t>Выбор направления выхода из блока при возникновении ошибки. Возможные значения: "Default" - по умолчанию; "Right" - направо; "Bottom" - вниз. Данное свойство позволяет определить направление выхода при возникновении ошибок для блоков не содержащих коннектора "Если ошибка" (например блок "Условие").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Выходной день</w:t>
      </w:r>
    </w:p>
    <w:p>
      <w:pPr>
        <w:pStyle w:val="Normal"/>
      </w:pPr>
      <w:r>
        <w:t>Проверяет указанную дату на выходной день</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Календарь</w:t>
            </w:r>
          </w:p>
        </w:tc>
        <w:tc>
          <w:tcPr>
            <w:tcW w:w="4000" w:type="dxa"/>
          </w:tcPr>
          <w:p>
            <w:r>
              <w:t>[Календарь] Объект календаря. Значение должно соответствовать выходному значению свойства "Календарь" блока "Получить календарь" в палитре "Оркестратор"</w:t>
            </w:r>
          </w:p>
        </w:tc>
      </w:tr>
      <w:tr>
        <w:tc>
          <w:tcPr>
            <w:tcW w:w="4000" w:type="dxa"/>
          </w:tcPr>
          <w:p>
            <w:r>
              <w:t>Дата</w:t>
            </w:r>
          </w:p>
        </w:tc>
        <w:tc>
          <w:tcPr>
            <w:tcW w:w="4000" w:type="dxa"/>
          </w:tcPr>
          <w:p>
            <w:r>
              <w:t>[Текст/Дата и время] Дата проверки</w:t>
            </w:r>
          </w:p>
        </w:tc>
      </w:tr>
      <w:tr>
        <w:tc>
          <w:tcPr>
            <w:tcW w:w="4000" w:type="dxa"/>
          </w:tcPr>
          <w:p>
            <w:r>
              <w:t>Результат</w:t>
            </w:r>
          </w:p>
        </w:tc>
        <w:tc>
          <w:tcPr>
            <w:tcW w:w="4000" w:type="dxa"/>
          </w:tcPr>
          <w:p>
            <w:r>
              <w:t>Значение $true указывает на то, что данный день является рабочим, в противном случае значение $false</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Направление выхода</w:t>
            </w:r>
          </w:p>
        </w:tc>
        <w:tc>
          <w:tcPr>
            <w:tcW w:w="4000" w:type="dxa"/>
          </w:tcPr>
          <w:p>
            <w:r>
              <w:t>Выбор направления выхода из блока при возникновении ошибки. Возможные значения: "Default" - по умолчанию; "Right" - направо; "Bottom" - вниз. Данное свойство позволяет определить направление выхода при возникновении ошибок для блоков не содержащих коннектора "Если ошибка" (например блок "Условие").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рабочие дни</w:t>
      </w:r>
    </w:p>
    <w:p>
      <w:pPr>
        <w:pStyle w:val="Normal"/>
      </w:pPr>
      <w:r>
        <w:t>Получает рабочие дни между двумя заданными датами</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Календарь</w:t>
            </w:r>
          </w:p>
        </w:tc>
        <w:tc>
          <w:tcPr>
            <w:tcW w:w="4000" w:type="dxa"/>
          </w:tcPr>
          <w:p>
            <w:r>
              <w:t>[Календарь] Объект календаря. Значение должно соответствовать выходному значению свойства "Календарь" блока "Получить календарь" в палитре "Оркестратор"</w:t>
            </w:r>
          </w:p>
        </w:tc>
      </w:tr>
      <w:tr>
        <w:tc>
          <w:tcPr>
            <w:tcW w:w="4000" w:type="dxa"/>
          </w:tcPr>
          <w:p>
            <w:r>
              <w:t>Начальная дата</w:t>
            </w:r>
          </w:p>
        </w:tc>
        <w:tc>
          <w:tcPr>
            <w:tcW w:w="4000" w:type="dxa"/>
          </w:tcPr>
          <w:p>
            <w:r>
              <w:t>[Текст/Дата и время] Начальная дата</w:t>
            </w:r>
          </w:p>
        </w:tc>
      </w:tr>
      <w:tr>
        <w:tc>
          <w:tcPr>
            <w:tcW w:w="4000" w:type="dxa"/>
          </w:tcPr>
          <w:p>
            <w:r>
              <w:t>Конечная дата</w:t>
            </w:r>
          </w:p>
        </w:tc>
        <w:tc>
          <w:tcPr>
            <w:tcW w:w="4000" w:type="dxa"/>
          </w:tcPr>
          <w:p>
            <w:r>
              <w:t>[Текст/Дата и время] Конечная дата</w:t>
            </w:r>
          </w:p>
        </w:tc>
      </w:tr>
      <w:tr>
        <w:tc>
          <w:tcPr>
            <w:tcW w:w="4000" w:type="dxa"/>
          </w:tcPr>
          <w:p>
            <w:r>
              <w:t>Включить границы</w:t>
            </w:r>
          </w:p>
        </w:tc>
        <w:tc>
          <w:tcPr>
            <w:tcW w:w="4000" w:type="dxa"/>
          </w:tcPr>
          <w:p>
            <w:r>
              <w:t>При включении будут учитываться границы заданного диапазона дат</w:t>
            </w:r>
          </w:p>
        </w:tc>
      </w:tr>
      <w:tr>
        <w:tc>
          <w:tcPr>
            <w:tcW w:w="4000" w:type="dxa"/>
          </w:tcPr>
          <w:p>
            <w:r>
              <w:t>Результат</w:t>
            </w:r>
          </w:p>
        </w:tc>
        <w:tc>
          <w:tcPr>
            <w:tcW w:w="4000" w:type="dxa"/>
          </w:tcPr>
          <w:p>
            <w:r>
              <w:t>[Таблица Данных/Список] В зависимости от типа переменной результатом будет таблица данных с одной колонкой или список дат. По умолчанию используется таблица данных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Получить выходные дни</w:t>
      </w:r>
    </w:p>
    <w:p>
      <w:pPr>
        <w:pStyle w:val="Normal"/>
      </w:pPr>
      <w:r>
        <w:t>Получает выходные дни между двумя заданными датами</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Календарь</w:t>
            </w:r>
          </w:p>
        </w:tc>
        <w:tc>
          <w:tcPr>
            <w:tcW w:w="4000" w:type="dxa"/>
          </w:tcPr>
          <w:p>
            <w:r>
              <w:t>[Календарь] Объект календаря. Значение должно соответствовать выходному значению свойства "Календарь" блока "Получить календарь" в палитре "Оркестратор"</w:t>
            </w:r>
          </w:p>
        </w:tc>
      </w:tr>
      <w:tr>
        <w:tc>
          <w:tcPr>
            <w:tcW w:w="4000" w:type="dxa"/>
          </w:tcPr>
          <w:p>
            <w:r>
              <w:t>Начальная дата</w:t>
            </w:r>
          </w:p>
        </w:tc>
        <w:tc>
          <w:tcPr>
            <w:tcW w:w="4000" w:type="dxa"/>
          </w:tcPr>
          <w:p>
            <w:r>
              <w:t>[Текст/Дата и время] Начальная дата</w:t>
            </w:r>
          </w:p>
        </w:tc>
      </w:tr>
      <w:tr>
        <w:tc>
          <w:tcPr>
            <w:tcW w:w="4000" w:type="dxa"/>
          </w:tcPr>
          <w:p>
            <w:r>
              <w:t>Конечная дата</w:t>
            </w:r>
          </w:p>
        </w:tc>
        <w:tc>
          <w:tcPr>
            <w:tcW w:w="4000" w:type="dxa"/>
          </w:tcPr>
          <w:p>
            <w:r>
              <w:t>[Текст/Дата и время] Конечная дата</w:t>
            </w:r>
          </w:p>
        </w:tc>
      </w:tr>
      <w:tr>
        <w:tc>
          <w:tcPr>
            <w:tcW w:w="4000" w:type="dxa"/>
          </w:tcPr>
          <w:p>
            <w:r>
              <w:t>Включить границы</w:t>
            </w:r>
          </w:p>
        </w:tc>
        <w:tc>
          <w:tcPr>
            <w:tcW w:w="4000" w:type="dxa"/>
          </w:tcPr>
          <w:p>
            <w:r>
              <w:t>При включении будут учитываться границы заданного диапазона дат</w:t>
            </w:r>
          </w:p>
        </w:tc>
      </w:tr>
      <w:tr>
        <w:tc>
          <w:tcPr>
            <w:tcW w:w="4000" w:type="dxa"/>
          </w:tcPr>
          <w:p>
            <w:r>
              <w:t>Результат</w:t>
            </w:r>
          </w:p>
        </w:tc>
        <w:tc>
          <w:tcPr>
            <w:tcW w:w="4000" w:type="dxa"/>
          </w:tcPr>
          <w:p>
            <w:r>
              <w:t>[Таблица Данных/Список] В зависимости от типа переменной результатом будет таблица данных с одной колонкой или список дат. По умолчанию используется таблица данных</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p>
      <w:pPr>
        <w:pStyle w:val="Heading2"/>
      </w:pPr>
      <w:r>
        <w:t>Если дата</w:t>
      </w:r>
    </w:p>
    <w:p>
      <w:pPr>
        <w:pStyle w:val="Normal"/>
      </w:pPr>
      <w:r>
        <w:t>Блок проверяет указанную строку на соответствие даты и времени</w:t>
      </w:r>
    </w:p>
    <w:p>
      <w:pPr>
        <w:pStyle w:val="Normal"/>
      </w:pPr>
      <w:r>
        <w:t/>
      </w:r>
    </w:p>
    <w:tbl>
      <w:tblPr>
        <w:tblBorders>
          <w:top w:val="single" w:sz="1"/>
          <w:bottom w:val="single" w:sz="1"/>
          <w:left w:val="single" w:sz="1"/>
          <w:right w:val="single" w:sz="1"/>
          <w:insideH w:val="single" w:sz="1"/>
          <w:insideV w:val="single" w:sz="1"/>
        </w:tblBorders>
      </w:tblPr>
      <w:tr>
        <w:tc>
          <w:tcPr>
            <w:tcW w:w="4000" w:type="dxa"/>
          </w:tcPr>
          <w:p>
            <w:r>
              <w:t>Строка</w:t>
            </w:r>
          </w:p>
        </w:tc>
        <w:tc>
          <w:tcPr>
            <w:tcW w:w="4000" w:type="dxa"/>
          </w:tcPr>
          <w:p>
            <w:r>
              <w:t>[Текст] Строка, которую необходимо проверить</w:t>
            </w:r>
          </w:p>
        </w:tc>
      </w:tr>
      <w:tr>
        <w:tc>
          <w:tcPr>
            <w:tcW w:w="4000" w:type="dxa"/>
          </w:tcPr>
          <w:p>
            <w:r>
              <w:t>Результат</w:t>
            </w:r>
          </w:p>
        </w:tc>
        <w:tc>
          <w:tcPr>
            <w:tcW w:w="4000" w:type="dxa"/>
          </w:tcPr>
          <w:p>
            <w:r>
              <w:t>[Дата и время] Возвращается структура дата и время при успешном распознавании</w:t>
            </w:r>
          </w:p>
        </w:tc>
      </w:tr>
      <w:tr>
        <w:tc>
          <w:tcPr>
            <w:tcW w:w="4000" w:type="dxa"/>
          </w:tcPr>
          <w:p>
            <w:r>
              <w:t>Уровень обработки</w:t>
            </w:r>
          </w:p>
        </w:tc>
        <w:tc>
          <w:tcPr>
            <w:tcW w:w="4000" w:type="dxa"/>
          </w:tcPr>
          <w:p>
            <w:r>
              <w:t>Выбор уровня обработки ошибок. Возможные значения: "Default" - по умолчанию; "Ignore" - ошибки игнорируются; "Handle" - ошибки обрабатываются. Если выбрано значение "Default", то будет использоваться значение блока "Старт" данной диаграммы</w:t>
            </w:r>
          </w:p>
        </w:tc>
      </w:tr>
      <w:tr>
        <w:tc>
          <w:tcPr>
            <w:tcW w:w="4000" w:type="dxa"/>
          </w:tcPr>
          <w:p>
            <w:r>
              <w:t>Направление выхода</w:t>
            </w:r>
          </w:p>
        </w:tc>
        <w:tc>
          <w:tcPr>
            <w:tcW w:w="4000" w:type="dxa"/>
          </w:tcPr>
          <w:p>
            <w:r>
              <w:t>Выбор направления выхода из блока при возникновении ошибки. Возможные значения: "Default" - по умолчанию; "Right" - направо; "Bottom" - вниз. Данное свойство позволяет определить направление выхода при возникновении ошибок для блоков не содержащих коннектора "Если ошибка" (например блок "Условие"). Если выбрано значение "Default", то будет использоваться значение блока "Старт" данной диаграммы</w:t>
            </w:r>
          </w:p>
        </w:tc>
      </w:tr>
      <w:tr>
        <w:tc>
          <w:tcPr>
            <w:tcW w:w="4000" w:type="dxa"/>
          </w:tcPr>
          <w:p>
            <w:r>
              <w:t>Уровень сообщений</w:t>
            </w:r>
          </w:p>
        </w:tc>
        <w:tc>
          <w:tcPr>
            <w:tcW w:w="4000" w:type="dxa"/>
          </w:tcPr>
          <w:p>
            <w:r>
              <w:t>Выбор уровня сообщений, которые будут выводить блоки при работе. Возможные значения: "Default" - по умолчанию; "Release" - вывод отключен; "Debug" - вывод основной информации; "Detailed" - вывод подробной информации. Если выбрано значение "Default", то будет использоваться значение блока "Старт" данной диаграммы</w:t>
            </w:r>
          </w:p>
        </w:tc>
      </w:tr>
      <w:tr>
        <w:tc>
          <w:tcPr>
            <w:tcW w:w="4000" w:type="dxa"/>
          </w:tcPr>
          <w:p>
            <w:r>
              <w:t>Текст ошибки</w:t>
            </w:r>
          </w:p>
        </w:tc>
        <w:tc>
          <w:tcPr>
            <w:tcW w:w="4000" w:type="dxa"/>
          </w:tcPr>
          <w:p>
            <w:r>
              <w:t>[Текст] Возвращает подробную информацию об ошибке в случае некорректного выполнения работы блока</w:t>
            </w:r>
          </w:p>
        </w:tc>
      </w:tr>
    </w:tbl>
  </w:body>
</w:document>
</file>

<file path=word/styles.xml><?xml version="1.0" encoding="utf-8"?>
<w:styles xmlns:w="http://schemas.openxmlformats.org/wordprocessingml/2006/main">
  <w:docDefaults>
    <w:rPrDefault>
      <w:rPr>
        <w:rFonts w:asciiTheme="minorHAnsi" w:hAnsiTheme="minorHAnsi" w:eastAsiaTheme="minorEastAsia"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hAnsiTheme="majorHAnsi" w:eastAsiaTheme="majorEastAsia" w:cstheme="majorBidi"/>
      <w:b/>
      <w:bCs/>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hAnsiTheme="majorHAnsi" w:eastAsiaTheme="majorEastAsia"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hAnsiTheme="majorHAnsi"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hAnsiTheme="majorHAnsi" w:eastAsiaTheme="majorEastAsia" w:cstheme="majorBidi"/>
      <w:color w:val="5B9BD5"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pBdr>
        <w:bottom w:val="single" w:color="5B9BD5"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hAnsiTheme="majorHAnsi" w:eastAsiaTheme="majorEastAsia" w:cstheme="majorBidi"/>
      <w:i/>
      <w:iCs/>
      <w:color w:val="5B9BD5" w:themeColor="accent1"/>
      <w:spacing w:val="15"/>
      <w:sz w:val="24"/>
      <w:szCs w:val="24"/>
    </w:rPr>
  </w:style>
  <w:style w:type="character" w:styleId="SubtitleChar" w:customStyle="1">
    <w:name w:val="Subtitle Char"/>
    <w:basedOn w:val="DefaultParagraphFont"/>
    <w:link w:val="Subtitle"/>
    <w:uiPriority w:val="11"/>
    <w:rPr>
      <w:rFonts w:asciiTheme="majorHAnsi" w:hAnsiTheme="majorHAnsi" w:eastAsiaTheme="majorEastAsia" w:cstheme="majorBidi"/>
      <w:i/>
      <w:iCs/>
      <w:color w:val="5B9BD5" w:themeColor="accent1"/>
      <w:spacing w:val="15"/>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b/>
      <w:bCs/>
      <w:color w:val="2E74B5" w:themeColor="accent1" w:themeShade="BF"/>
      <w:sz w:val="28"/>
      <w:szCs w:val="28"/>
    </w:rPr>
  </w:style>
  <w:style w:type="character" w:styleId="Heading2Char" w:customStyle="1">
    <w:name w:val="Heading 2 Char"/>
    <w:basedOn w:val="DefaultParagraphFont"/>
    <w:link w:val="Heading2"/>
    <w:uiPriority w:val="9"/>
    <w:rPr>
      <w:rFonts w:asciiTheme="majorHAnsi" w:hAnsiTheme="majorHAnsi" w:eastAsiaTheme="majorEastAsia" w:cstheme="majorBidi"/>
      <w:b/>
      <w:bCs/>
      <w:color w:val="5B9BD5" w:themeColor="accent1"/>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b/>
      <w:bCs/>
      <w:color w:val="5B9BD5" w:themeColor="accent1"/>
    </w:rPr>
  </w:style>
  <w:style w:type="character" w:styleId="Heading4Char" w:customStyle="1">
    <w:name w:val="Heading 4 Char"/>
    <w:basedOn w:val="DefaultParagraphFont"/>
    <w:link w:val="Heading4"/>
    <w:uiPriority w:val="9"/>
    <w:rPr>
      <w:rFonts w:asciiTheme="majorHAnsi" w:hAnsiTheme="majorHAnsi" w:eastAsiaTheme="majorEastAsia" w:cstheme="majorBidi"/>
      <w:b/>
      <w:bCs/>
      <w:i/>
      <w:iCs/>
      <w:color w:val="5B9BD5" w:themeColor="accent1"/>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1F4D78" w:themeColor="accent1" w:themeShade="7F"/>
    </w:rPr>
  </w:style>
  <w:style w:type="character" w:styleId="Heading6Char" w:customStyle="1">
    <w:name w:val="Heading 6 Char"/>
    <w:basedOn w:val="DefaultParagraphFont"/>
    <w:link w:val="Heading6"/>
    <w:uiPriority w:val="9"/>
    <w:rPr>
      <w:rFonts w:asciiTheme="majorHAnsi" w:hAnsiTheme="majorHAnsi" w:eastAsiaTheme="majorEastAsia" w:cstheme="majorBidi"/>
      <w:i/>
      <w:iCs/>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5B9BD5" w:themeColor="accent1"/>
      <w:sz w:val="20"/>
      <w:szCs w:val="20"/>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404040" w:themeColor="text1" w:themeTint="BF"/>
      <w:sz w:val="20"/>
      <w:szCs w:val="20"/>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styleId="QuoteChar" w:customStyle="1">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color="5B9BD5" w:themeColor="accent1" w:sz="4" w:space="4"/>
      </w:pBdr>
      <w:spacing w:before="200" w:after="280"/>
      <w:ind w:left="936" w:right="936"/>
    </w:pPr>
    <w:rPr>
      <w:b/>
      <w:bCs/>
      <w:i/>
      <w:iCs/>
      <w:color w:val="5B9BD5" w:themeColor="accent1"/>
    </w:rPr>
  </w:style>
  <w:style w:type="character" w:styleId="IntenseQuoteChar" w:customStyle="1">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line="240" w:lineRule="auto"/>
    </w:pPr>
    <w:rPr>
      <w:b/>
      <w:bCs/>
      <w:color w:val="5B9BD5" w:themeColor="accent1"/>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s>
</file>

<file path=word/_rels/document.xml.rels>&#65279;<?xml version="1.0" encoding="utf-8"?><Relationships xmlns="http://schemas.openxmlformats.org/package/2006/relationships"><Relationship Type="http://schemas.openxmlformats.org/officeDocument/2006/relationships/styles" Target="/word/styles.xml" Id="Rfed5f966adbc4635" /></Relationships>
</file>