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af4c359d244cb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1С</w:t>
      </w:r>
    </w:p>
    <w:p>
      <w:pPr>
        <w:pStyle w:val="Heading2"/>
      </w:pPr>
      <w:r>
        <w:t>Подключиться</w:t>
      </w:r>
    </w:p>
    <w:p>
      <w:pPr>
        <w:pStyle w:val="Normal"/>
      </w:pPr>
      <w:r>
        <w:t>Создать подключение к серверу 1С или запустить толстый клиент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Тип подключения</w:t>
            </w:r>
          </w:p>
        </w:tc>
        <w:tc>
          <w:tcPr>
            <w:tcW w:w="4000" w:type="dxa"/>
          </w:tcPr>
          <w:p>
            <w:r>
              <w:t>Выбор типа подключения. Возможные варианты: Server - подключение к серверу без запуска приложения, Application - запуск толстого клиента, ApplicationHidden - запуск толстого клиента, окно которого будет скрыто. Для работы в режиме Server необходимо зарегистрировать объект V83.COMConnector (для этого выполняется команда "regsvr32 comcntr.dll"). Для работы врежиме Application и ApplicationHidden  необходимо зарегистрировать объект "V83.Application (для этого выполняется команда "1cv8.exe /regserver")</w:t>
            </w:r>
          </w:p>
        </w:tc>
      </w:tr>
      <w:tr>
        <w:tc>
          <w:tcPr>
            <w:tcW w:w="4000" w:type="dxa"/>
          </w:tcPr>
          <w:p>
            <w:r>
              <w:t>Строка подключения</w:t>
            </w:r>
          </w:p>
        </w:tc>
        <w:tc>
          <w:tcPr>
            <w:tcW w:w="4000" w:type="dxa"/>
          </w:tcPr>
          <w:p>
            <w:r>
              <w:t>[Текст] Строка подключения к 1С. Для файловой базы данных используется строка "File=""C:\1cPath"";", для серверной - "Srvr=""TestServer"";Ref=""TestBase"";"</w:t>
            </w:r>
          </w:p>
        </w:tc>
      </w:tr>
      <w:tr>
        <w:tc>
          <w:tcPr>
            <w:tcW w:w="4000" w:type="dxa"/>
          </w:tcPr>
          <w:p>
            <w:r>
              <w:t>Пользователь</w:t>
            </w:r>
          </w:p>
        </w:tc>
        <w:tc>
          <w:tcPr>
            <w:tcW w:w="4000" w:type="dxa"/>
          </w:tcPr>
          <w:p>
            <w:r>
              <w:t>[Текст] Имя пользователя для авторизации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авторизации</w:t>
            </w:r>
          </w:p>
        </w:tc>
      </w:tr>
      <w:tr>
        <w:tc>
          <w:tcPr>
            <w:tcW w:w="4000" w:type="dxa"/>
          </w:tcPr>
          <w:p>
            <w:r>
              <w:t>Версия 1С</w:t>
            </w:r>
          </w:p>
        </w:tc>
        <w:tc>
          <w:tcPr>
            <w:tcW w:w="4000" w:type="dxa"/>
          </w:tcPr>
          <w:p>
            <w:r>
              <w:t>Версия 1С</w:t>
            </w:r>
          </w:p>
        </w:tc>
      </w:tr>
      <w:tr>
        <w:tc>
          <w:tcPr>
            <w:tcW w:w="4000" w:type="dxa"/>
          </w:tcPr>
          <w:p>
            <w:r>
              <w:t>Соединение</w:t>
            </w:r>
          </w:p>
        </w:tc>
        <w:tc>
          <w:tcPr>
            <w:tcW w:w="4000" w:type="dxa"/>
          </w:tcPr>
          <w:p>
            <w:r>
              <w:t>[Ссылка] Возвращается объект подключения к 1С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Закрыть соединение</w:t>
      </w:r>
    </w:p>
    <w:p>
      <w:pPr>
        <w:pStyle w:val="Normal"/>
      </w:pPr>
      <w:r>
        <w:t>Закрыть соединение с сервером 1С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Соединение</w:t>
            </w:r>
          </w:p>
        </w:tc>
        <w:tc>
          <w:tcPr>
            <w:tcW w:w="4000" w:type="dxa"/>
          </w:tcPr>
          <w:p>
            <w:r>
              <w:t>[Ссылка] Объект подключения к 1С. Название переменной в данном свойстве должно совпадать с названием переменной в свойстве "Соединение", блока "Подключиться" из группы 1С, который ранее использовался для подключения к 1С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Выполнить запрос</w:t>
      </w:r>
    </w:p>
    <w:p>
      <w:pPr>
        <w:pStyle w:val="Normal"/>
      </w:pPr>
      <w:r>
        <w:t>Выполнить запрос к 1С и получить таблицу данных с результатом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Соединение</w:t>
            </w:r>
          </w:p>
        </w:tc>
        <w:tc>
          <w:tcPr>
            <w:tcW w:w="4000" w:type="dxa"/>
          </w:tcPr>
          <w:p>
            <w:r>
              <w:t>[Ссылка] Объект подключения к 1С. Подключение должно быть выполнено с типом "Server". Название переменной в данном свойстве должно совпадать с названием переменной в свойстве "Соединение", блока "Подключиться" из группы 1С, который ранее использовался для подключения к 1С</w:t>
            </w:r>
          </w:p>
        </w:tc>
      </w:tr>
      <w:tr>
        <w:tc>
          <w:tcPr>
            <w:tcW w:w="4000" w:type="dxa"/>
          </w:tcPr>
          <w:p>
            <w:r>
              <w:t>Запрос</w:t>
            </w:r>
          </w:p>
        </w:tc>
        <w:tc>
          <w:tcPr>
            <w:tcW w:w="4000" w:type="dxa"/>
          </w:tcPr>
          <w:p>
            <w:r>
              <w:t>[Текст] Запрос, который будет выполнен в 1С. Например: "ВЫБРАТЬ Наименование ИЗ Справочник.Пользователи"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[Таблица Данных] Таблица, содержащая полученный результат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Выполнить код</w:t>
      </w:r>
    </w:p>
    <w:p>
      <w:pPr>
        <w:pStyle w:val="Normal"/>
      </w:pPr>
      <w:r>
        <w:t>Запустить на исполнение код на сервере или клиенте, Для работы данного блока необходимо, чтобы у пользователя была отключена опция "Защита от опасных действий", а также включена роль "Интерактивное открытие внешних отчетов и обработок". Для работы со справочниками тип подключения должен быть "Server"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Соединение</w:t>
            </w:r>
          </w:p>
        </w:tc>
        <w:tc>
          <w:tcPr>
            <w:tcW w:w="4000" w:type="dxa"/>
          </w:tcPr>
          <w:p>
            <w:r>
              <w:t>[Ссылка] Объект подключения к 1С. Название переменной в данном свойстве должно совпадать с названием переменной в свойстве "Соединение", блока "Подключиться" из группы 1С, который ранее использовался для подключения к 1С</w:t>
            </w:r>
          </w:p>
        </w:tc>
      </w:tr>
      <w:tr>
        <w:tc>
          <w:tcPr>
            <w:tcW w:w="4000" w:type="dxa"/>
          </w:tcPr>
          <w:p>
            <w:r>
              <w:t>Код</w:t>
            </w:r>
          </w:p>
        </w:tc>
        <w:tc>
          <w:tcPr>
            <w:tcW w:w="4000" w:type="dxa"/>
          </w:tcPr>
          <w:p>
            <w:r>
              <w:t>[Текст] Строка кода на языке 1С, которую необходимо выполнить. Например: "Номенклатура = Справочники.Номенклатура.СоздатьЭлемент(); Номенклатура.Наименование = ""Тестовая Номенклатура""; Номенклатура.Записать();"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Результат выполнения кода. Для возврата значений необходимо использовать временное хранилище. Вы должны в коде использовать такие строки: "SherpaВозврат = ПоместитьВоВременноеХранилище(ОтправляюСообщение, УникИдент);". УникИдент - может быть любым генерируемым. SherpaВозврат - эта переменная используется для извлечения значения после выполнения кода и имя не должно изменяться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Извлечь данные</w:t>
      </w:r>
    </w:p>
    <w:p>
      <w:pPr>
        <w:pStyle w:val="Normal"/>
      </w:pPr>
      <w:r>
        <w:t>Блок позволяет извлечь данные из табличных форм 1С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Интерактивный выбор набора однотипных элементов пользовательского интерфейса</w:t>
            </w:r>
          </w:p>
        </w:tc>
      </w:tr>
      <w:tr>
        <w:tc>
          <w:tcPr>
            <w:tcW w:w="4000" w:type="dxa"/>
          </w:tcPr>
          <w:p>
            <w:r>
              <w:t>Количество строк</w:t>
            </w:r>
          </w:p>
        </w:tc>
        <w:tc>
          <w:tcPr>
            <w:tcW w:w="4000" w:type="dxa"/>
          </w:tcPr>
          <w:p>
            <w:r>
              <w:t>Максимальное количество извлекаемых строк</w:t>
            </w:r>
          </w:p>
        </w:tc>
      </w:tr>
      <w:tr>
        <w:tc>
          <w:tcPr>
            <w:tcW w:w="4000" w:type="dxa"/>
          </w:tcPr>
          <w:p>
            <w:r>
              <w:t>Колонки</w:t>
            </w:r>
          </w:p>
        </w:tc>
        <w:tc>
          <w:tcPr>
            <w:tcW w:w="4000" w:type="dxa"/>
          </w:tcPr>
          <w:p>
            <w:r>
              <w:t>[Список] Список имен колонок таблицы. Если значение не указать, то колонки будут определяться автоматически.</w:t>
            </w:r>
          </w:p>
        </w:tc>
      </w:tr>
      <w:tr>
        <w:tc>
          <w:tcPr>
            <w:tcW w:w="4000" w:type="dxa"/>
          </w:tcPr>
          <w:p>
            <w:r>
              <w:t>Таблица по колонкам</w:t>
            </w:r>
          </w:p>
        </w:tc>
        <w:tc>
          <w:tcPr>
            <w:tcW w:w="4000" w:type="dxa"/>
          </w:tcPr>
          <w:p>
            <w:r>
              <w:t>При включении таблица будет строиться по указанным в свойстве "Колонки" названиям колонок. Иначе таблица строится по координатам ячеек</w:t>
            </w:r>
          </w:p>
        </w:tc>
      </w:tr>
      <w:tr>
        <w:tc>
          <w:tcPr>
            <w:tcW w:w="4000" w:type="dxa"/>
          </w:tcPr>
          <w:p>
            <w:r>
              <w:t>Текущая страница</w:t>
            </w:r>
          </w:p>
        </w:tc>
        <w:tc>
          <w:tcPr>
            <w:tcW w:w="4000" w:type="dxa"/>
          </w:tcPr>
          <w:p>
            <w:r>
              <w:t>Если включено, то робот не будет пролистывать таблицу, а извлечет только текущие "видимые" данные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Задержка перед</w:t>
            </w:r>
          </w:p>
        </w:tc>
        <w:tc>
          <w:tcPr>
            <w:tcW w:w="4000" w:type="dxa"/>
          </w:tcPr>
          <w:p>
            <w:r>
              <w:t>[Число] Задержка в секундах перед выполнением блока</w:t>
            </w:r>
          </w:p>
        </w:tc>
      </w:tr>
      <w:tr>
        <w:tc>
          <w:tcPr>
            <w:tcW w:w="4000" w:type="dxa"/>
          </w:tcPr>
          <w:p>
            <w:r>
              <w:t>Задержка после</w:t>
            </w:r>
          </w:p>
        </w:tc>
        <w:tc>
          <w:tcPr>
            <w:tcW w:w="4000" w:type="dxa"/>
          </w:tcPr>
          <w:p>
            <w:r>
              <w:t>[Число] Задержка в секундах после выполения блока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появления элемента в секундах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[Таблица Данных] Таблица, содержащая извлеченные данные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Клик мышкой по ячейке в таблице 1С</w:t>
      </w:r>
    </w:p>
    <w:p>
      <w:pPr>
        <w:pStyle w:val="Normal"/>
      </w:pPr>
      <w:r>
        <w:t>Клик мышкой по ячейке в таблице 1С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Идентификатор элемента пользовательского интерфейса</w:t>
            </w:r>
          </w:p>
        </w:tc>
      </w:tr>
      <w:tr>
        <w:tc>
          <w:tcPr>
            <w:tcW w:w="4000" w:type="dxa"/>
          </w:tcPr>
          <w:p>
            <w:r>
              <w:t>Действие</w:t>
            </w:r>
          </w:p>
        </w:tc>
        <w:tc>
          <w:tcPr>
            <w:tcW w:w="4000" w:type="dxa"/>
          </w:tcPr>
          <w:p>
            <w:r>
              <w:t>Выбор действия: левый клик, двойной клик, правый клик, навести курсор</w:t>
            </w:r>
          </w:p>
        </w:tc>
      </w:tr>
      <w:tr>
        <w:tc>
          <w:tcPr>
            <w:tcW w:w="4000" w:type="dxa"/>
          </w:tcPr>
          <w:p>
            <w:r>
              <w:t>Строка</w:t>
            </w:r>
          </w:p>
        </w:tc>
        <w:tc>
          <w:tcPr>
            <w:tcW w:w="4000" w:type="dxa"/>
          </w:tcPr>
          <w:p>
            <w:r>
              <w:t>[Число] Номер строки в таблице. Нумерация начинается с 0</w:t>
            </w:r>
          </w:p>
        </w:tc>
      </w:tr>
      <w:tr>
        <w:tc>
          <w:tcPr>
            <w:tcW w:w="4000" w:type="dxa"/>
          </w:tcPr>
          <w:p>
            <w:r>
              <w:t>Колонка</w:t>
            </w:r>
          </w:p>
        </w:tc>
        <w:tc>
          <w:tcPr>
            <w:tcW w:w="4000" w:type="dxa"/>
          </w:tcPr>
          <w:p>
            <w:r>
              <w:t>[Число] Номер колонки в таблице. Нумерация начинается с 0</w:t>
            </w:r>
          </w:p>
        </w:tc>
      </w:tr>
      <w:tr>
        <w:tc>
          <w:tcPr>
            <w:tcW w:w="4000" w:type="dxa"/>
          </w:tcPr>
          <w:p>
            <w:r>
              <w:t>ThumbImage</w:t>
            </w:r>
          </w:p>
        </w:tc>
        <w:tc>
          <w:tcPr>
            <w:tcW w:w="4000" w:type="dxa"/>
          </w:tcPr>
          <w:p>
            <w:r>
              <w:t>Thumb Image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Задержка перед</w:t>
            </w:r>
          </w:p>
        </w:tc>
        <w:tc>
          <w:tcPr>
            <w:tcW w:w="4000" w:type="dxa"/>
          </w:tcPr>
          <w:p>
            <w:r>
              <w:t>[Число] Задержка в секундах перед выполением блока</w:t>
            </w:r>
          </w:p>
        </w:tc>
      </w:tr>
      <w:tr>
        <w:tc>
          <w:tcPr>
            <w:tcW w:w="4000" w:type="dxa"/>
          </w:tcPr>
          <w:p>
            <w:r>
              <w:t>Задержка после</w:t>
            </w:r>
          </w:p>
        </w:tc>
        <w:tc>
          <w:tcPr>
            <w:tcW w:w="4000" w:type="dxa"/>
          </w:tcPr>
          <w:p>
            <w:r>
              <w:t>[Число] Задержка в секундах после выполения блока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заданного элемента в секундах</w:t>
            </w:r>
          </w:p>
        </w:tc>
      </w:tr>
      <w:tr>
        <w:tc>
          <w:tcPr>
            <w:tcW w:w="4000" w:type="dxa"/>
          </w:tcPr>
          <w:p>
            <w:r>
              <w:t>Смещение по X</w:t>
            </w:r>
          </w:p>
        </w:tc>
        <w:tc>
          <w:tcPr>
            <w:tcW w:w="4000" w:type="dxa"/>
          </w:tcPr>
          <w:p>
            <w:r>
              <w:t>[Число] Относительное смещение клика по координате X от левого верхнего угла элемента</w:t>
            </w:r>
          </w:p>
        </w:tc>
      </w:tr>
      <w:tr>
        <w:tc>
          <w:tcPr>
            <w:tcW w:w="4000" w:type="dxa"/>
          </w:tcPr>
          <w:p>
            <w:r>
              <w:t>Смещение по Y</w:t>
            </w:r>
          </w:p>
        </w:tc>
        <w:tc>
          <w:tcPr>
            <w:tcW w:w="4000" w:type="dxa"/>
          </w:tcPr>
          <w:p>
            <w:r>
              <w:t>[Число] Относительное смещение клика по координате Y от левого верхнего угла элемента</w:t>
            </w:r>
          </w:p>
        </w:tc>
      </w:tr>
      <w:tr>
        <w:tc>
          <w:tcPr>
            <w:tcW w:w="4000" w:type="dxa"/>
          </w:tcPr>
          <w:p>
            <w:r>
              <w:t>Быстрый метод</w:t>
            </w:r>
          </w:p>
        </w:tc>
        <w:tc>
          <w:tcPr>
            <w:tcW w:w="4000" w:type="dxa"/>
          </w:tcPr>
          <w:p>
            <w:r>
              <w:t>Использовать быстрый метод для обнаружения ячейки. Можно использовать если поиск ячеек используется в первой строке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cda6162474dd0" /></Relationships>
</file>